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bidi w:val="1"/>
        <w:spacing w:before="280" w:lineRule="auto"/>
        <w:jc w:val="center"/>
        <w:rPr>
          <w:rFonts w:ascii="IBM Plex Sans Arabic" w:cs="IBM Plex Sans Arabic" w:eastAsia="IBM Plex Sans Arabic" w:hAnsi="IBM Plex Sans Arabic"/>
          <w:b w:val="1"/>
          <w:color w:val="000000"/>
          <w:sz w:val="60"/>
          <w:szCs w:val="60"/>
        </w:rPr>
      </w:pPr>
      <w:bookmarkStart w:colFirst="0" w:colLast="0" w:name="_i5pr8oettznd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60"/>
          <w:szCs w:val="60"/>
          <w:rtl w:val="1"/>
        </w:rPr>
        <w:t xml:space="preserve">                                                                        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60"/>
          <w:szCs w:val="60"/>
          <w:rtl w:val="1"/>
        </w:rPr>
        <w:t xml:space="preserve">دراسة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60"/>
          <w:szCs w:val="6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60"/>
          <w:szCs w:val="60"/>
          <w:rtl w:val="1"/>
        </w:rPr>
        <w:t xml:space="preserve">جدوى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60"/>
          <w:szCs w:val="6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60"/>
          <w:szCs w:val="60"/>
          <w:rtl w:val="1"/>
        </w:rPr>
        <w:t xml:space="preserve">مشروع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60"/>
          <w:szCs w:val="6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60"/>
          <w:szCs w:val="60"/>
          <w:rtl w:val="1"/>
        </w:rPr>
        <w:t xml:space="preserve">تجاري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60"/>
          <w:szCs w:val="60"/>
          <w:rtl w:val="1"/>
        </w:rPr>
        <w:t xml:space="preserve"> </w:t>
      </w:r>
    </w:p>
    <w:p w:rsidR="00000000" w:rsidDel="00000000" w:rsidP="00000000" w:rsidRDefault="00000000" w:rsidRPr="00000000" w14:paraId="0000000C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</w:rPr>
      </w:pPr>
      <w:bookmarkStart w:colFirst="0" w:colLast="0" w:name="_7rto65nlzc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</w:rPr>
      </w:pPr>
      <w:bookmarkStart w:colFirst="0" w:colLast="0" w:name="_b22dfvrpqgxa" w:id="2"/>
      <w:bookmarkEnd w:id="2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مقدمة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01E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يشمل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هذا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التقرير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دراسة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الجدوى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الشاملة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(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الذي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يهدف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إلى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(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ملخص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سريع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طبيعة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وأهدافه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)</w:t>
      </w:r>
      <w:r w:rsidDel="00000000" w:rsidR="00000000" w:rsidRPr="00000000">
        <w:rPr>
          <w:rFonts w:ascii="IBM Plex Sans Arabic" w:cs="IBM Plex Sans Arabic" w:eastAsia="IBM Plex Sans Arabic" w:hAnsi="IBM Plex Sans Arabic"/>
          <w:rtl w:val="0"/>
        </w:rPr>
        <w:t xml:space="preserve">.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bidi w:val="1"/>
        <w:spacing w:before="280" w:lineRule="auto"/>
        <w:rPr>
          <w:rFonts w:ascii="IBM Plex Sans Arabic" w:cs="IBM Plex Sans Arabic" w:eastAsia="IBM Plex Sans Arabic" w:hAnsi="IBM Plex Sans Arabic"/>
          <w:b w:val="1"/>
        </w:rPr>
      </w:pPr>
      <w:bookmarkStart w:colFirst="0" w:colLast="0" w:name="_emwxrr1qa8za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1.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الملخص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التنفيذي</w:t>
      </w:r>
    </w:p>
    <w:p w:rsidR="00000000" w:rsidDel="00000000" w:rsidP="00000000" w:rsidRDefault="00000000" w:rsidRPr="00000000" w14:paraId="00000020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يوفر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هذا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القسم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لمحة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عامة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وسريعة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دراسة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الجدوى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بأكملها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بما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ذلك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أهداف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فكرة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العمل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المنتجات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الخدمات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المقدمة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والنتائج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الأساسية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للجدوى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المالية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والتشغيلية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هذا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الملخص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يقدم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معلومات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مفيدة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للقراء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الذين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يحتاجون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نظرة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شاملة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دون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الخوض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التفاصيل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ويحدد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إذا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كان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يستحق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المتابعة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والاستثمار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اسم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0"/>
        </w:rPr>
        <w:t xml:space="preserve">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نوع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0"/>
        </w:rPr>
        <w:t xml:space="preserve">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الموقع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المقترح</w:t>
      </w:r>
      <w:r w:rsidDel="00000000" w:rsidR="00000000" w:rsidRPr="00000000">
        <w:rPr>
          <w:rFonts w:ascii="IBM Plex Sans Arabic" w:cs="IBM Plex Sans Arabic" w:eastAsia="IBM Plex Sans Arabic" w:hAnsi="IBM Plex Sans Arabic"/>
          <w:rtl w:val="0"/>
        </w:rPr>
        <w:t xml:space="preserve">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فكرة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0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(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وصف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الفكرة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بإيجاز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)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أهداف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0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(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وصف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الأهداف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مثل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تحقيق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ربح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معين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تلبية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حاجة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معينة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السوق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الخ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.)</w:t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bidi w:val="1"/>
        <w:spacing w:before="280" w:lineRule="auto"/>
        <w:rPr>
          <w:sz w:val="26"/>
          <w:szCs w:val="26"/>
        </w:rPr>
      </w:pPr>
      <w:bookmarkStart w:colFirst="0" w:colLast="0" w:name="_w84hbzfkjw4k" w:id="4"/>
      <w:bookmarkEnd w:id="4"/>
      <w:r w:rsidDel="00000000" w:rsidR="00000000" w:rsidRPr="00000000">
        <w:rPr>
          <w:sz w:val="26"/>
          <w:szCs w:val="26"/>
          <w:rtl w:val="0"/>
        </w:rPr>
        <w:t xml:space="preserve">2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الدراسة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السوقية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يهدف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هذا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القسم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إلى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تحليل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السوق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المستهدف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وفهم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الطلب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المنتج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الخدمة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تتضمن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الدراسة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وصف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للفئة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المستهدفة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تحديد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المنافسين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الرئيسيين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حجم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السوق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والنمو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المتوقع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والسلوك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الشرائي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للعملاء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هذا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التحليل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يساعد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تقدير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فرص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نجاح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ويحدد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الاستراتيجيات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يمكن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استخدامها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للاستفادة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الفرص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والتغلب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التحديات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التنافسية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</w:rPr>
      </w:pPr>
      <w:bookmarkStart w:colFirst="0" w:colLast="0" w:name="_gkj17minjr2c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</w:rPr>
      </w:pPr>
      <w:bookmarkStart w:colFirst="0" w:colLast="0" w:name="_u0zyzionu81e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</w:rPr>
      </w:pPr>
      <w:bookmarkStart w:colFirst="0" w:colLast="0" w:name="_jbhhj75v4e3f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</w:rPr>
      </w:pPr>
      <w:bookmarkStart w:colFirst="0" w:colLast="0" w:name="_17pnlj51pr4r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</w:rPr>
      </w:pPr>
      <w:bookmarkStart w:colFirst="0" w:colLast="0" w:name="_f8p1x9c073k4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</w:rPr>
      </w:pPr>
      <w:bookmarkStart w:colFirst="0" w:colLast="0" w:name="_m4h53vsrv35b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</w:rPr>
      </w:pPr>
      <w:bookmarkStart w:colFirst="0" w:colLast="0" w:name="_7qgtn1ksz14i" w:id="11"/>
      <w:bookmarkEnd w:id="11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وصف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السوق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المستهدف</w:t>
      </w:r>
    </w:p>
    <w:p w:rsidR="00000000" w:rsidDel="00000000" w:rsidP="00000000" w:rsidRDefault="00000000" w:rsidRPr="00000000" w14:paraId="00000030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يتناول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خصائص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الجمهور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المستهدف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مثل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العمر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والموقع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الجغرافي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والدخل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والاهتمامات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لتوضيح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حجم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السوق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المستهدف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ومدى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اتساعه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هذه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المعلومات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تضمن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المنتج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الخدمة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مصمم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وفق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لاحتياجات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ورغبات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العملاء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المحتملين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031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140"/>
        <w:gridCol w:w="720"/>
        <w:gridCol w:w="1035"/>
        <w:gridCol w:w="900"/>
        <w:gridCol w:w="1440"/>
        <w:gridCol w:w="1290"/>
        <w:gridCol w:w="1485"/>
        <w:gridCol w:w="1350"/>
        <w:tblGridChange w:id="0">
          <w:tblGrid>
            <w:gridCol w:w="1140"/>
            <w:gridCol w:w="720"/>
            <w:gridCol w:w="1035"/>
            <w:gridCol w:w="900"/>
            <w:gridCol w:w="1440"/>
            <w:gridCol w:w="1290"/>
            <w:gridCol w:w="1485"/>
            <w:gridCol w:w="1350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الفئة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المستهدفة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العمر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الدخل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السنوي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الموقع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الجغرافي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الاحتياجات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الأساسية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الأهداف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/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الدوافع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السلوك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الشرائي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القنوات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التسويقية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المفضلة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مثال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: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طلاب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جامعيون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18-24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منخفض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متوسط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المدن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الجامعية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حولها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منتجات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بأسعار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معقولة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تلبي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احتياجات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الحياة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اليومية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توفير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الحصول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منتجات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عصرية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يبحثون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التخفيضات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يتأثرون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بالمراجعات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إنستغرام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تيك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توك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حملات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البريد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الإلكتروني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مثال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: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العاملون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المهنيون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25-40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متوسط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مرتفع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المدن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الكبرى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حلول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مبتكرة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وسهلة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لتحسين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نمط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الحياة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توفير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الوقت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تحسين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الكفاءة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والإنتاجية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يفضلون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العلامات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التجارية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الموثوقة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لينكد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فيسبوك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منصات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الفيديو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التعليمية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مثال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: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الأمهات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ربات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المنازل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30-45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متوسط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المدن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والضواحي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منتجات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عملية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وذات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جودة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للأطفال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والمنزل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ضمان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جودة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المنتجات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الراحة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يفضلون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التسوق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المتاجر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الكبرى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والعروض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فيسبوك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إنستغرام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الإعلانات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التلفزيونية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مثال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: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كبار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0"/>
              </w:rPr>
              <w:t xml:space="preserve">50+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متوسط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منخفض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مختلف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المناطق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منتجات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صحية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وسهلة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الاستخدام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الحفاظ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الصحة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الأمان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المالي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يتسوقون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المتاجر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التقليدية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ويفضلون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العروض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الصحف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التلفاز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الإعلانات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المطبوعة</w:t>
            </w:r>
          </w:p>
        </w:tc>
      </w:tr>
    </w:tbl>
    <w:p w:rsidR="00000000" w:rsidDel="00000000" w:rsidP="00000000" w:rsidRDefault="00000000" w:rsidRPr="00000000" w14:paraId="0000005A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3"/>
        <w:numPr>
          <w:ilvl w:val="0"/>
          <w:numId w:val="1"/>
        </w:numPr>
        <w:bidi w:val="1"/>
        <w:spacing w:after="240" w:before="240" w:lineRule="auto"/>
        <w:ind w:left="720" w:hanging="360"/>
      </w:pPr>
      <w:bookmarkStart w:colFirst="0" w:colLast="0" w:name="_k90m24x5udbs" w:id="12"/>
      <w:bookmarkEnd w:id="12"/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الفئة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المستهدفة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يبحث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هذا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التحليل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دوافع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العملاء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وتفضيلاتهم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الشرائية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مما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يساعد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تطوير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استراتيجيات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التسويق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والمنتجات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bidi w:val="1"/>
        <w:spacing w:after="240" w:before="240" w:lineRule="auto"/>
        <w:ind w:left="0" w:firstLine="0"/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جدول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0"/>
        </w:rPr>
        <w:t xml:space="preserve">Persona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للعميل</w:t>
      </w:r>
    </w:p>
    <w:tbl>
      <w:tblPr>
        <w:tblStyle w:val="Table2"/>
        <w:bidiVisual w:val="1"/>
        <w:tblW w:w="98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185"/>
        <w:gridCol w:w="1980"/>
        <w:gridCol w:w="1710"/>
        <w:gridCol w:w="4935"/>
        <w:tblGridChange w:id="0">
          <w:tblGrid>
            <w:gridCol w:w="1185"/>
            <w:gridCol w:w="1980"/>
            <w:gridCol w:w="1710"/>
            <w:gridCol w:w="4935"/>
          </w:tblGrid>
        </w:tblGridChange>
      </w:tblGrid>
      <w:tr>
        <w:trPr>
          <w:cantSplit w:val="0"/>
          <w:trHeight w:val="545.92529296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tcMar>
              <w:top w:w="-2204.64" w:type="dxa"/>
              <w:left w:w="-2204.64" w:type="dxa"/>
              <w:bottom w:w="-2204.64" w:type="dxa"/>
              <w:right w:w="-2204.64" w:type="dxa"/>
            </w:tcMar>
            <w:vAlign w:val="top"/>
          </w:tcPr>
          <w:p w:rsidR="00000000" w:rsidDel="00000000" w:rsidP="00000000" w:rsidRDefault="00000000" w:rsidRPr="00000000" w14:paraId="00000062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العنصر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التفاصيل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tcMar>
              <w:top w:w="-2204.64" w:type="dxa"/>
              <w:left w:w="-2204.64" w:type="dxa"/>
              <w:bottom w:w="-2204.64" w:type="dxa"/>
              <w:right w:w="-2204.64" w:type="dxa"/>
            </w:tcMar>
            <w:vAlign w:val="top"/>
          </w:tcPr>
          <w:p w:rsidR="00000000" w:rsidDel="00000000" w:rsidP="00000000" w:rsidRDefault="00000000" w:rsidRPr="00000000" w14:paraId="00000064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العنصر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التفاصيل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1.0000000000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الاسم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افتراضي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للشخصية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التحديات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 /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العقبات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العقبات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التي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يواجهها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العميل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لتحقيق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أهدافه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مثل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: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نقص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الوقت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تكاليف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مرتفعة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)</w:t>
            </w:r>
          </w:p>
        </w:tc>
      </w:tr>
      <w:tr>
        <w:trPr>
          <w:cantSplit w:val="0"/>
          <w:trHeight w:val="996.000000000000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العمر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الفئة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العمرية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عمر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محدد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مثل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25-35)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الاحتياجات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ما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الذي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يحتاجه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العميل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المنتج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الخدمة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؟)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النوع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ذكر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/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أنثى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اهتمامات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وميول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هوايات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تفضيلات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شخصية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مثل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: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التكنولوجيا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الرياضة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الموضة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الموقع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الجغرافي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مدينة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دولة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القنوات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المفضلة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للتواصل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منصات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التواصل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الاجتماعي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الوسائل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التي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يفضلها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مثل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: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إنستغرام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فيسبوك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البريد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المستوى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التعليمي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مثال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: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جامعي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دراسات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عليا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ثانوي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السلوك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الشرائي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مثال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: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يبحث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عن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العروض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يتسوق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المناسبات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يفضل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العلامات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التجارية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المعروفة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الوظيفة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 /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المسمى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الوظيفي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مثال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: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مدير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تسويق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مصمم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جرافيك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ربة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منزل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التأثيرات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ما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الذي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يؤثر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قرارات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الشراء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لديه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؟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مثل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: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آراء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الأصدقاء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المراجعات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العلامات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التجارية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الدخل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السنوي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مثال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: 30,000 - 50,000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دولار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العلامات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التجارية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المفضلة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العلامات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التجارية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التي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يميل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لشرائها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مجال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معين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الوضع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العائلي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مثال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: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أعزب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متزوج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لديه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أطفال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تفضيلات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المحتوى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نوع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المحتوى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الذي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يجذبه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مثل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: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الفيديوهات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المدونات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مراجعات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المنتجات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الأهداف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ما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الذي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يرغب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العميل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تحقيقه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؟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مثل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: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توفير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المال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تحسين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الصحة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اكتساب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مهارات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جديدة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sz w:val="18"/>
                <w:szCs w:val="18"/>
                <w:rtl w:val="1"/>
              </w:rPr>
              <w:t xml:space="preserve">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اقتباس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sz w:val="18"/>
                <w:szCs w:val="18"/>
                <w:rtl w:val="1"/>
              </w:rPr>
              <w:t xml:space="preserve">العميل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bidi w:val="1"/>
              <w:spacing w:after="240" w:before="240" w:lineRule="auto"/>
              <w:rPr>
                <w:rFonts w:ascii="IBM Plex Sans Arabic" w:cs="IBM Plex Sans Arabic" w:eastAsia="IBM Plex Sans Arabic" w:hAnsi="IBM Plex Sans Arab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جملة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توضح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شخصية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العميل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مثل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: "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أبحث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دائم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ً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عن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أفضل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جودة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مقابل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السعر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"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 "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أريد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منتج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ً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يسهل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استخدامه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sz w:val="18"/>
                <w:szCs w:val="18"/>
                <w:rtl w:val="1"/>
              </w:rPr>
              <w:t xml:space="preserve">")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3"/>
        <w:keepNext w:val="0"/>
        <w:keepLines w:val="0"/>
        <w:bidi w:val="1"/>
        <w:spacing w:before="280" w:lineRule="auto"/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</w:rPr>
      </w:pPr>
      <w:bookmarkStart w:colFirst="0" w:colLast="0" w:name="_171ig347hflv" w:id="13"/>
      <w:bookmarkEnd w:id="13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مثال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لشخصية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عميل</w:t>
      </w:r>
    </w:p>
    <w:tbl>
      <w:tblPr>
        <w:tblStyle w:val="Table3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128.55421686747"/>
        <w:gridCol w:w="2410.481927710843"/>
        <w:gridCol w:w="2410.481927710843"/>
        <w:gridCol w:w="2410.481927710843"/>
        <w:tblGridChange w:id="0">
          <w:tblGrid>
            <w:gridCol w:w="2128.55421686747"/>
            <w:gridCol w:w="2410.481927710843"/>
            <w:gridCol w:w="2410.481927710843"/>
            <w:gridCol w:w="2410.4819277108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العنصر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التفاصيل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العنصر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التفاصيل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الاسم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أحمد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اهتمامات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وميول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التكنولوجيا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الرياضة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العمر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28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سنة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القنوات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المفضلة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للتواصل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إنستغرام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البريد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الإلكتروني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النوع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ذكر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السلوك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الشرائي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يتسوق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الأعياد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والمواسم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يبحث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أفضل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الصفقات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الموقع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الجغرافي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الرياض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السعودية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التأثيرات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آراء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الأصدقاء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مراجعات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المنتجات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المستوى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التعليمي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جامعي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العلامات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التجارية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المفضلة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آبل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سامسونج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نايكي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الوظيفة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/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المسمى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الوظيفي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مدير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تسويق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تفضيلات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المحتوى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الفيديوهات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مراجعات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المنتجات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الدخل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السنوي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40,000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دولار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اقتباس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العميل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"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أريد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منتجات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تساعدني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توفير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الوقت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وتعطيني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قيمة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جيدة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مقابل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السعر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"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الوضع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العائلي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متزوج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لديه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طفلان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الاحتياجات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خدمة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سريعة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وموثوقة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سعر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مناسب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الأهداف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توفير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بناء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منزل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للعائلة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التحديات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/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العقبات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ضيق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الوقت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تكاليف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المعيشة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المرتفعة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-6380.639999999999" w:type="dxa"/>
              <w:left w:w="-6380.639999999999" w:type="dxa"/>
              <w:bottom w:w="-6380.639999999999" w:type="dxa"/>
              <w:right w:w="-6380.639999999999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bidi w:val="1"/>
              <w:spacing w:after="240" w:before="240" w:lineRule="auto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1"/>
        </w:numPr>
        <w:bidi w:val="1"/>
        <w:spacing w:after="240" w:before="24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حجم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السوق</w:t>
      </w:r>
      <w:r w:rsidDel="00000000" w:rsidR="00000000" w:rsidRPr="00000000">
        <w:rPr>
          <w:rFonts w:ascii="IBM Plex Sans Arabic" w:cs="IBM Plex Sans Arabic" w:eastAsia="IBM Plex Sans Arabic" w:hAnsi="IBM Plex Sans Arabic"/>
          <w:rtl w:val="0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(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تحديد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حجم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السوق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المتوقع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</w:rPr>
      </w:pPr>
      <w:bookmarkStart w:colFirst="0" w:colLast="0" w:name="_mwfe7j4bqk8m" w:id="14"/>
      <w:bookmarkEnd w:id="14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ب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التحليل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التنافسي</w:t>
      </w:r>
    </w:p>
    <w:p w:rsidR="00000000" w:rsidDel="00000000" w:rsidP="00000000" w:rsidRDefault="00000000" w:rsidRPr="00000000" w14:paraId="000000C6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يقوم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هذا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الجزء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بتحليل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المنافسين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المباشرين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وغير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المباشرين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ويحدد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نقاط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قوتهم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وضعفهم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مما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يساعد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تطوير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ميزات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تنافسية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numPr>
          <w:ilvl w:val="0"/>
          <w:numId w:val="14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المنافسون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الرئيسيون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0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(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ذكر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أبرز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المنافسين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وتحليل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منتجاتهم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وخدماتهم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)</w:t>
      </w:r>
    </w:p>
    <w:p w:rsidR="00000000" w:rsidDel="00000000" w:rsidP="00000000" w:rsidRDefault="00000000" w:rsidRPr="00000000" w14:paraId="000000C8">
      <w:pPr>
        <w:numPr>
          <w:ilvl w:val="0"/>
          <w:numId w:val="14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الفرص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التنافسية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0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(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ما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يميز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غيره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)</w:t>
      </w:r>
    </w:p>
    <w:p w:rsidR="00000000" w:rsidDel="00000000" w:rsidP="00000000" w:rsidRDefault="00000000" w:rsidRPr="00000000" w14:paraId="000000C9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</w:rPr>
      </w:pPr>
      <w:bookmarkStart w:colFirst="0" w:colLast="0" w:name="_5cimj0lswgoz" w:id="15"/>
      <w:bookmarkEnd w:id="15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ج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تحليل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0"/>
        </w:rPr>
        <w:t xml:space="preserve">SWOT</w:t>
      </w:r>
    </w:p>
    <w:p w:rsidR="00000000" w:rsidDel="00000000" w:rsidP="00000000" w:rsidRDefault="00000000" w:rsidRPr="00000000" w14:paraId="000000CA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يتم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هذا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الجزء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تقييم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نقاط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القوة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والضعف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إضافة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ً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إلى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استكشاف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الفرص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والتحديات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السوق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يساعد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تحليل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0"/>
        </w:rPr>
        <w:t xml:space="preserve">SWOT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تقديم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رؤية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شاملة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المكانة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التنافسية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وتطوير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استراتيجيات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ناجحة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0CB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443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190"/>
        <w:gridCol w:w="3245"/>
        <w:tblGridChange w:id="0">
          <w:tblGrid>
            <w:gridCol w:w="1190"/>
            <w:gridCol w:w="324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العنصر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الوصف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نقاط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القوة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مثال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: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جودة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المنتجات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أسعار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تنافسية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نقاط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الضعف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مثال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: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صعوبة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التسويق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قلة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رأس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المال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الفرص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مثال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: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تزايد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الطلب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المنتجات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التهديدات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مثال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: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وجود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منافسين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أقوياء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Style w:val="Heading3"/>
        <w:keepNext w:val="0"/>
        <w:keepLines w:val="0"/>
        <w:bidi w:val="1"/>
        <w:spacing w:before="280" w:lineRule="auto"/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</w:rPr>
      </w:pPr>
      <w:bookmarkStart w:colFirst="0" w:colLast="0" w:name="_3r14ha1pnrl1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Style w:val="Heading3"/>
        <w:keepNext w:val="0"/>
        <w:keepLines w:val="0"/>
        <w:bidi w:val="1"/>
        <w:spacing w:before="280" w:lineRule="auto"/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</w:rPr>
      </w:pPr>
      <w:bookmarkStart w:colFirst="0" w:colLast="0" w:name="_y0o7gadvszs7" w:id="17"/>
      <w:bookmarkEnd w:id="17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3. 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الدراسة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الفنية</w:t>
      </w:r>
    </w:p>
    <w:p w:rsidR="00000000" w:rsidDel="00000000" w:rsidP="00000000" w:rsidRDefault="00000000" w:rsidRPr="00000000" w14:paraId="000000E0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</w:rPr>
      </w:pPr>
      <w:bookmarkStart w:colFirst="0" w:colLast="0" w:name="_jsopkxcwvzs6" w:id="18"/>
      <w:bookmarkEnd w:id="18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وصف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المنتج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الخدمة</w:t>
      </w:r>
    </w:p>
    <w:p w:rsidR="00000000" w:rsidDel="00000000" w:rsidP="00000000" w:rsidRDefault="00000000" w:rsidRPr="00000000" w14:paraId="000000E1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ركز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هذا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القسم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التفاصيل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الفنية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لعملية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الإنتاج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تقديم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الخدمة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بما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ذلك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وصف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المنتج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الخدمة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مراحل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الإنتاج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وتحديد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الموارد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التشغيلية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المطلوبة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يهدف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هذا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القسم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إلى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تقييم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إمكانية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تنفيذ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بنجاح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وضمان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استدامته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خلال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تخطيط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العملية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التشغيلية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بفعالية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0E3">
      <w:pPr>
        <w:pStyle w:val="Heading4"/>
        <w:keepNext w:val="0"/>
        <w:keepLines w:val="0"/>
        <w:numPr>
          <w:ilvl w:val="0"/>
          <w:numId w:val="12"/>
        </w:numPr>
        <w:bidi w:val="1"/>
        <w:spacing w:after="40" w:before="240" w:lineRule="auto"/>
        <w:ind w:left="720" w:hanging="360"/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u w:val="none"/>
        </w:rPr>
      </w:pPr>
      <w:bookmarkStart w:colFirst="0" w:colLast="0" w:name="_nu3lnfde4qco" w:id="19"/>
      <w:bookmarkEnd w:id="1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وصف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المنتج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الخدمة</w:t>
      </w:r>
    </w:p>
    <w:p w:rsidR="00000000" w:rsidDel="00000000" w:rsidP="00000000" w:rsidRDefault="00000000" w:rsidRPr="00000000" w14:paraId="000000E4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يشرح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الميزات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والوظائف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يقدمها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المنتج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الخدمة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ويحدد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كيف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سيلبي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احتياجات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العملاء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يحل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مشكلاتهم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0E5">
      <w:pPr>
        <w:pStyle w:val="Heading4"/>
        <w:keepNext w:val="0"/>
        <w:keepLines w:val="0"/>
        <w:numPr>
          <w:ilvl w:val="0"/>
          <w:numId w:val="10"/>
        </w:numPr>
        <w:bidi w:val="1"/>
        <w:spacing w:after="40" w:before="240" w:lineRule="auto"/>
        <w:ind w:left="720" w:hanging="360"/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u w:val="none"/>
        </w:rPr>
      </w:pPr>
      <w:bookmarkStart w:colFirst="0" w:colLast="0" w:name="_pwk47w4fz0s9" w:id="20"/>
      <w:bookmarkEnd w:id="20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مراحل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الإنتاج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تقديم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الخدمة</w:t>
      </w:r>
    </w:p>
    <w:p w:rsidR="00000000" w:rsidDel="00000000" w:rsidP="00000000" w:rsidRDefault="00000000" w:rsidRPr="00000000" w14:paraId="000000E6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يحدد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الخطوات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اللازمة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لتحضير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المنتج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الخدمة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وجعلها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متاحة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للعملاء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مما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يساعد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تقدير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الزمن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والموارد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المطلوبة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0E7">
      <w:pPr>
        <w:pStyle w:val="Heading4"/>
        <w:keepNext w:val="0"/>
        <w:keepLines w:val="0"/>
        <w:numPr>
          <w:ilvl w:val="0"/>
          <w:numId w:val="16"/>
        </w:numPr>
        <w:bidi w:val="1"/>
        <w:spacing w:after="40" w:before="240" w:lineRule="auto"/>
        <w:ind w:left="720" w:hanging="360"/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u w:val="none"/>
        </w:rPr>
      </w:pPr>
      <w:bookmarkStart w:colFirst="0" w:colLast="0" w:name="_uxhzl5x6ed02" w:id="21"/>
      <w:bookmarkEnd w:id="21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المتطلبات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التشغيلية</w:t>
      </w:r>
    </w:p>
    <w:p w:rsidR="00000000" w:rsidDel="00000000" w:rsidP="00000000" w:rsidRDefault="00000000" w:rsidRPr="00000000" w14:paraId="000000E8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يحدد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هذا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الجزء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المتطلبات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الأساسية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مثل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المواد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الخام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المعدات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والموارد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البشرية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اللازمة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مما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يتيح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تخصيص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الموارد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بشكل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صحيح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وتحقيق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كفاءة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عالية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0E9">
      <w:pPr>
        <w:pStyle w:val="Heading4"/>
        <w:keepNext w:val="0"/>
        <w:keepLines w:val="0"/>
        <w:numPr>
          <w:ilvl w:val="0"/>
          <w:numId w:val="6"/>
        </w:numPr>
        <w:bidi w:val="1"/>
        <w:spacing w:after="40" w:before="240" w:lineRule="auto"/>
        <w:ind w:left="720" w:hanging="360"/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u w:val="none"/>
        </w:rPr>
      </w:pPr>
      <w:bookmarkStart w:colFirst="0" w:colLast="0" w:name="_c9q6dfnq7655" w:id="22"/>
      <w:bookmarkEnd w:id="22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متطلبات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الإنتاج</w:t>
      </w:r>
    </w:p>
    <w:tbl>
      <w:tblPr>
        <w:tblStyle w:val="Table5"/>
        <w:bidiVisual w:val="1"/>
        <w:tblW w:w="4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640"/>
        <w:gridCol w:w="1445"/>
        <w:gridCol w:w="1115"/>
        <w:tblGridChange w:id="0">
          <w:tblGrid>
            <w:gridCol w:w="1640"/>
            <w:gridCol w:w="1445"/>
            <w:gridCol w:w="111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المتطلب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التقديرية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الملاحظات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المواد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الخام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تقريبية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ملاحظات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الأجهزة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والمعدات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تقريبية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ملاحظات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العمالة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تقريبية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ملاحظات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الخدمات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اللوجستية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تقريبية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ملاحظات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أخرى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تقريبية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ملاحظات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Style w:val="Heading3"/>
        <w:keepNext w:val="0"/>
        <w:keepLines w:val="0"/>
        <w:bidi w:val="1"/>
        <w:spacing w:before="280" w:lineRule="auto"/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</w:rPr>
      </w:pPr>
      <w:bookmarkStart w:colFirst="0" w:colLast="0" w:name="_fcdd4hrj3t2j" w:id="23"/>
      <w:bookmarkEnd w:id="23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4.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الدراسة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المالية</w:t>
      </w:r>
    </w:p>
    <w:p w:rsidR="00000000" w:rsidDel="00000000" w:rsidP="00000000" w:rsidRDefault="00000000" w:rsidRPr="00000000" w14:paraId="000000FE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يعتبر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هذا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القسم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أهم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أجزاء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دراسة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الجدوى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حيث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يركز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الجوانب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المالية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خلال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تقدير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التكاليف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الأولية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والتشغيلية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الإيرادات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المتوقعة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وتحديد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العوائد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يهدف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هذا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التحليل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إلى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معرفة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مدى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جدوى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الناحية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المالية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وتحديد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العائد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المتوقع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الاستثمار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وفترة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استرداد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رأس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المال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0FF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</w:rPr>
      </w:pPr>
      <w:bookmarkStart w:colFirst="0" w:colLast="0" w:name="_l2gztimu68eg" w:id="24"/>
      <w:bookmarkEnd w:id="24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أ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التكاليف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الاستثمارية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الأولية</w:t>
      </w:r>
    </w:p>
    <w:p w:rsidR="00000000" w:rsidDel="00000000" w:rsidP="00000000" w:rsidRDefault="00000000" w:rsidRPr="00000000" w14:paraId="00000100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تتضمن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جميع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التكاليف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المطلوبة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لإطلاق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مثل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تكلفة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المعدات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التجهيزات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والتراخيص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وتساعد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حساب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رأس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المال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المطلوب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101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Style w:val="Heading4"/>
        <w:keepNext w:val="0"/>
        <w:keepLines w:val="0"/>
        <w:numPr>
          <w:ilvl w:val="0"/>
          <w:numId w:val="2"/>
        </w:numPr>
        <w:bidi w:val="1"/>
        <w:spacing w:after="40" w:before="240" w:lineRule="auto"/>
        <w:ind w:left="720" w:hanging="360"/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u w:val="none"/>
        </w:rPr>
      </w:pPr>
      <w:bookmarkStart w:colFirst="0" w:colLast="0" w:name="_z9qq2ilzpglq" w:id="25"/>
      <w:bookmarkEnd w:id="25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التكاليف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الاستثمارية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الأولية</w:t>
      </w:r>
    </w:p>
    <w:tbl>
      <w:tblPr>
        <w:tblStyle w:val="Table6"/>
        <w:bidiVisual w:val="1"/>
        <w:tblW w:w="350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895"/>
        <w:gridCol w:w="1610"/>
        <w:tblGridChange w:id="0">
          <w:tblGrid>
            <w:gridCol w:w="1895"/>
            <w:gridCol w:w="161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العنصر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المقدرة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تأجير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الموقع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المعدات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والأجهزة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تكاليف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التسويق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تكاليف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التشغيل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الأولية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تكاليف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أخرى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bidi w:val="1"/>
              <w:rPr>
                <w:rFonts w:ascii="IBM Plex Sans Arabic" w:cs="IBM Plex Sans Arabic" w:eastAsia="IBM Plex Sans Arabic" w:hAnsi="IBM Plex Sans Arabic"/>
                <w:i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مجموع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التكاليف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111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</w:rPr>
      </w:pPr>
      <w:bookmarkStart w:colFirst="0" w:colLast="0" w:name="_96jdodjxhcjj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</w:rPr>
      </w:pPr>
      <w:bookmarkStart w:colFirst="0" w:colLast="0" w:name="_fi1rsh4gk1uj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</w:rPr>
      </w:pPr>
      <w:bookmarkStart w:colFirst="0" w:colLast="0" w:name="_2mm0gxjg2chq" w:id="28"/>
      <w:bookmarkEnd w:id="2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</w:rPr>
      </w:pPr>
      <w:bookmarkStart w:colFirst="0" w:colLast="0" w:name="_zfmd6jclvze9" w:id="29"/>
      <w:bookmarkEnd w:id="2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Style w:val="Heading4"/>
        <w:keepNext w:val="0"/>
        <w:keepLines w:val="0"/>
        <w:numPr>
          <w:ilvl w:val="0"/>
          <w:numId w:val="13"/>
        </w:numPr>
        <w:bidi w:val="1"/>
        <w:spacing w:after="40" w:before="240" w:lineRule="auto"/>
        <w:ind w:left="720" w:hanging="360"/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u w:val="none"/>
        </w:rPr>
      </w:pPr>
      <w:bookmarkStart w:colFirst="0" w:colLast="0" w:name="_7bhsag1yjrdb" w:id="30"/>
      <w:bookmarkEnd w:id="30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تقدير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الإيرادات</w:t>
      </w:r>
    </w:p>
    <w:p w:rsidR="00000000" w:rsidDel="00000000" w:rsidP="00000000" w:rsidRDefault="00000000" w:rsidRPr="00000000" w14:paraId="00000116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يتناول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هذا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الجزء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تقديرات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الإيرادات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يمكن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تحقيقها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خلال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مما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يوضح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قدرة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تحقيق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دخل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يغطي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التكاليف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ويحقق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أرباح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55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785"/>
        <w:gridCol w:w="1520"/>
        <w:gridCol w:w="1670"/>
        <w:gridCol w:w="1610"/>
        <w:tblGridChange w:id="0">
          <w:tblGrid>
            <w:gridCol w:w="785"/>
            <w:gridCol w:w="1520"/>
            <w:gridCol w:w="1670"/>
            <w:gridCol w:w="161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السنة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المبيعات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السنوية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معدل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النمو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المتوقع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الإيرادات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المتوقعة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السنة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مبيعات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معدل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نمو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إيرادات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السنة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مبيعات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معدل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نمو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إيرادات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السنة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مبيعات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معدل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نمو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إيرادات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pStyle w:val="Heading4"/>
        <w:keepNext w:val="0"/>
        <w:keepLines w:val="0"/>
        <w:numPr>
          <w:ilvl w:val="0"/>
          <w:numId w:val="5"/>
        </w:numPr>
        <w:bidi w:val="1"/>
        <w:spacing w:after="40" w:before="240" w:lineRule="auto"/>
        <w:ind w:left="720" w:hanging="360"/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u w:val="none"/>
        </w:rPr>
      </w:pPr>
      <w:bookmarkStart w:colFirst="0" w:colLast="0" w:name="_k70pzbkaerc2" w:id="31"/>
      <w:bookmarkEnd w:id="31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التكاليف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التشغيلية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:</w:t>
      </w:r>
    </w:p>
    <w:p w:rsidR="00000000" w:rsidDel="00000000" w:rsidP="00000000" w:rsidRDefault="00000000" w:rsidRPr="00000000" w14:paraId="00000128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يحدد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هذا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الجزء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التكاليف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الشهرية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والسنوية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اللازمة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للحفاظ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استمرارية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مثل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الرواتب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الإيجارات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وتكاليف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الصيانة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44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670"/>
        <w:gridCol w:w="1415"/>
        <w:gridCol w:w="1370"/>
        <w:tblGridChange w:id="0">
          <w:tblGrid>
            <w:gridCol w:w="1670"/>
            <w:gridCol w:w="1415"/>
            <w:gridCol w:w="137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البند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الشهرية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السنوية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الإيجار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الرواتب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المواد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الخام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مصروفات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الصيانة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نفقات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أخرى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المجموع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شهرية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bidi w:val="1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(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تكلفة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سنوية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i w:val="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E">
      <w:pPr>
        <w:pStyle w:val="Heading4"/>
        <w:keepNext w:val="0"/>
        <w:keepLines w:val="0"/>
        <w:bidi w:val="1"/>
        <w:spacing w:after="40" w:before="240" w:lineRule="auto"/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</w:rPr>
      </w:pPr>
      <w:bookmarkStart w:colFirst="0" w:colLast="0" w:name="_it39gnlo6vps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Style w:val="Heading4"/>
        <w:keepNext w:val="0"/>
        <w:keepLines w:val="0"/>
        <w:numPr>
          <w:ilvl w:val="0"/>
          <w:numId w:val="7"/>
        </w:numPr>
        <w:bidi w:val="1"/>
        <w:spacing w:after="40" w:before="240" w:lineRule="auto"/>
        <w:ind w:left="720" w:hanging="360"/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u w:val="none"/>
        </w:rPr>
      </w:pPr>
      <w:bookmarkStart w:colFirst="0" w:colLast="0" w:name="_xdal7jc0wslc" w:id="33"/>
      <w:bookmarkEnd w:id="33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التحليل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المالي</w:t>
      </w:r>
    </w:p>
    <w:p w:rsidR="00000000" w:rsidDel="00000000" w:rsidP="00000000" w:rsidRDefault="00000000" w:rsidRPr="00000000" w14:paraId="00000140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يشمل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حسابات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مثل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نقطة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التعادل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والعائد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الاستثمار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والتي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تساعد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قياس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الأداء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المالي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وتوقع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الاستدامة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المالية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numPr>
          <w:ilvl w:val="0"/>
          <w:numId w:val="1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نقطة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التعادل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0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(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حساب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نقطة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التعادل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خلال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المعادلة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نقطة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التعادل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=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التكاليف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الثابتة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÷ (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سعر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بيع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الوحدة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-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التكلفة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المتغيرة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لكل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وحدة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))</w:t>
      </w:r>
    </w:p>
    <w:p w:rsidR="00000000" w:rsidDel="00000000" w:rsidP="00000000" w:rsidRDefault="00000000" w:rsidRPr="00000000" w14:paraId="00000142">
      <w:pPr>
        <w:numPr>
          <w:ilvl w:val="0"/>
          <w:numId w:val="1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العائد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الاستثمار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(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0"/>
        </w:rPr>
        <w:t xml:space="preserve">ROI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0"/>
        </w:rPr>
        <w:t xml:space="preserve">)</w:t>
      </w:r>
      <w:r w:rsidDel="00000000" w:rsidR="00000000" w:rsidRPr="00000000">
        <w:rPr>
          <w:rFonts w:ascii="IBM Plex Sans Arabic" w:cs="IBM Plex Sans Arabic" w:eastAsia="IBM Plex Sans Arabic" w:hAnsi="IBM Plex Sans Arabic"/>
          <w:rtl w:val="0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(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حساب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العائد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المتوقع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الاستثمار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باستخدام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المعادلة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0"/>
        </w:rPr>
        <w:t xml:space="preserve">ROI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= (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صافي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الربح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÷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التكاليف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الكلية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) × 100)</w:t>
      </w:r>
    </w:p>
    <w:p w:rsidR="00000000" w:rsidDel="00000000" w:rsidP="00000000" w:rsidRDefault="00000000" w:rsidRPr="00000000" w14:paraId="00000143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Style w:val="Heading2"/>
        <w:bidi w:val="1"/>
        <w:rPr>
          <w:sz w:val="36"/>
          <w:szCs w:val="36"/>
        </w:rPr>
      </w:pPr>
      <w:bookmarkStart w:colFirst="0" w:colLast="0" w:name="_m5zsm2hx8j0k" w:id="34"/>
      <w:bookmarkEnd w:id="34"/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0"/>
          <w:szCs w:val="30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0"/>
          <w:szCs w:val="30"/>
          <w:rtl w:val="1"/>
        </w:rPr>
        <w:t xml:space="preserve">التحليل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0"/>
          <w:szCs w:val="30"/>
          <w:rtl w:val="1"/>
        </w:rPr>
        <w:t xml:space="preserve">البيئي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sz w:val="30"/>
          <w:szCs w:val="30"/>
          <w:rtl w:val="1"/>
        </w:rPr>
        <w:t xml:space="preserve">والقانوني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Style w:val="Heading3"/>
        <w:keepNext w:val="0"/>
        <w:keepLines w:val="0"/>
        <w:bidi w:val="1"/>
        <w:spacing w:before="280" w:lineRule="auto"/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</w:rPr>
      </w:pPr>
      <w:bookmarkStart w:colFirst="0" w:colLast="0" w:name="_tfp2bjfg95fg" w:id="35"/>
      <w:bookmarkEnd w:id="35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التحليل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البيئي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والقانوني</w:t>
      </w:r>
    </w:p>
    <w:p w:rsidR="00000000" w:rsidDel="00000000" w:rsidP="00000000" w:rsidRDefault="00000000" w:rsidRPr="00000000" w14:paraId="00000146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يقي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ّ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هذا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القسم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المتطلبات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القانونية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والتأثيرات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البيئية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المحتملة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قد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يتسبب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فيها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يهدف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إلى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ضمان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الامتثال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للمعايير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القانونية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وتقليل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الأثر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البيئي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مما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يعزز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سمعة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ويجنبه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مشكلات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قانونية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المستقبل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147">
      <w:pPr>
        <w:pStyle w:val="Heading4"/>
        <w:keepNext w:val="0"/>
        <w:keepLines w:val="0"/>
        <w:numPr>
          <w:ilvl w:val="0"/>
          <w:numId w:val="8"/>
        </w:numPr>
        <w:bidi w:val="1"/>
        <w:spacing w:after="40" w:before="240" w:lineRule="auto"/>
        <w:ind w:left="720" w:hanging="360"/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u w:val="none"/>
        </w:rPr>
      </w:pPr>
      <w:bookmarkStart w:colFirst="0" w:colLast="0" w:name="_tdqa85qcjf19" w:id="36"/>
      <w:bookmarkEnd w:id="36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المتطلبات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القانونية</w:t>
      </w:r>
    </w:p>
    <w:p w:rsidR="00000000" w:rsidDel="00000000" w:rsidP="00000000" w:rsidRDefault="00000000" w:rsidRPr="00000000" w14:paraId="00000148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يتناول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التراخيص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والتصاريح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اللازمة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للعمل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والالتزام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بالقوانين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المحلية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تنظم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أنشطة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149">
      <w:pPr>
        <w:pStyle w:val="Heading4"/>
        <w:keepNext w:val="0"/>
        <w:keepLines w:val="0"/>
        <w:numPr>
          <w:ilvl w:val="0"/>
          <w:numId w:val="15"/>
        </w:numPr>
        <w:bidi w:val="1"/>
        <w:spacing w:after="40" w:before="240" w:lineRule="auto"/>
        <w:ind w:left="720" w:hanging="360"/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u w:val="none"/>
        </w:rPr>
      </w:pPr>
      <w:bookmarkStart w:colFirst="0" w:colLast="0" w:name="_jwbxscjy6grl" w:id="37"/>
      <w:bookmarkEnd w:id="37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الأثر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2"/>
          <w:szCs w:val="22"/>
          <w:rtl w:val="1"/>
        </w:rPr>
        <w:t xml:space="preserve">البيئي</w:t>
      </w:r>
    </w:p>
    <w:p w:rsidR="00000000" w:rsidDel="00000000" w:rsidP="00000000" w:rsidRDefault="00000000" w:rsidRPr="00000000" w14:paraId="0000014A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يحدد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هذا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الجزء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الآثار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البيئية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المحتملة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مثل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استهلاك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الموارد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التلوث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ويقدم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استراتيجيات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للتقليل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هذه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الآثار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وحماية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البيئة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14B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Style w:val="Heading3"/>
        <w:keepNext w:val="0"/>
        <w:keepLines w:val="0"/>
        <w:bidi w:val="1"/>
        <w:spacing w:before="280" w:lineRule="auto"/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</w:rPr>
      </w:pPr>
      <w:bookmarkStart w:colFirst="0" w:colLast="0" w:name="_5pbvhhgwhowl" w:id="38"/>
      <w:bookmarkEnd w:id="38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إدارة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المخاطر</w:t>
      </w:r>
    </w:p>
    <w:p w:rsidR="00000000" w:rsidDel="00000000" w:rsidP="00000000" w:rsidRDefault="00000000" w:rsidRPr="00000000" w14:paraId="00000155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يهدف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هذا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القسم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إلى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تحديد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المخاطر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المحتملة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قد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يواجهها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مثل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التغيرات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السوق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زيادة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التكاليف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يساعد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التحليل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تطوير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استراتيجيات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للحد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هذه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المخاطر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مما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يقلل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تأثيرها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ويزيد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فرص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النجاح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والاستمرارية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156">
      <w:pPr>
        <w:pStyle w:val="Heading3"/>
        <w:keepNext w:val="0"/>
        <w:keepLines w:val="0"/>
        <w:bidi w:val="1"/>
        <w:spacing w:before="280" w:lineRule="auto"/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</w:rPr>
      </w:pPr>
      <w:bookmarkStart w:colFirst="0" w:colLast="0" w:name="_kafog72wkbjv" w:id="39"/>
      <w:bookmarkEnd w:id="39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جدول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إدارة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المخاطر</w:t>
      </w:r>
    </w:p>
    <w:tbl>
      <w:tblPr>
        <w:tblStyle w:val="Table9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152.8722867238769"/>
        <w:gridCol w:w="1634.8107016658253"/>
        <w:gridCol w:w="940.2523977788995"/>
        <w:gridCol w:w="1124.52296819788"/>
        <w:gridCol w:w="1436.3654719838464"/>
        <w:gridCol w:w="1620.6360424028267"/>
        <w:gridCol w:w="1450.540131246845"/>
        <w:tblGridChange w:id="0">
          <w:tblGrid>
            <w:gridCol w:w="1152.8722867238769"/>
            <w:gridCol w:w="1634.8107016658253"/>
            <w:gridCol w:w="940.2523977788995"/>
            <w:gridCol w:w="1124.52296819788"/>
            <w:gridCol w:w="1436.3654719838464"/>
            <w:gridCol w:w="1620.6360424028267"/>
            <w:gridCol w:w="1450.540131246845"/>
          </w:tblGrid>
        </w:tblGridChange>
      </w:tblGrid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المخاطرة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وصف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المخاطرة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احتمالية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حدوثها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التأثير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المحتمل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إستراتيجية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التعامل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الإجراءات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الوقائية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الخطة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البديلة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مثال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: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تقلبات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الأسعار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ارتفاع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تكاليف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المواد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الخام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عالية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تأثير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مالي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كبير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التقليل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: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توقيع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عقود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شراء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طويلة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الأجل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تخزين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كميات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كافية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المواد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الخام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البحث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موردين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بديلين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مثال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: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فقدان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العملاء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انخفاض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الطلب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على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المنتجات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متوسطة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انخفاض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الإيرادات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التخفيف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: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تحسين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تجربة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العملاء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توفير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برامج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ولاء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وعروض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ترويجية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تعزيز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التسويق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لتوسيع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قاعدة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العملاء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مثال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: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التغيرات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التشريعية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تغيرات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قوانين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العمل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منخفضة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تأخير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توقف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الامتثال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: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متابعة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التحديثات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القانونية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متابعة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التحديثات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بشكل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دوري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والتأكد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الالتزام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اللجوء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لاستشارات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قانونية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مثال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: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منافسة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قوية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دخول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منافسين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جدد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تحسين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عروض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المنافسين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الحاليين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عالية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فقدان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حصة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في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السوق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التكيف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: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تحسين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المنتجات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الأسعار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تحسين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جودة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المنتج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،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وتقديم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ميزات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جديدة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تخفيض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الأسعار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مؤقت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ً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أو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تقديم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عروض</w:t>
            </w:r>
          </w:p>
        </w:tc>
      </w:tr>
      <w:tr>
        <w:trPr>
          <w:cantSplit w:val="0"/>
          <w:trHeight w:val="1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مثال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: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نقص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العمالة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الماهرة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صعوبة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إيجاد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وتوظيف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المهارات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المطلوبة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متوسطة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تعطيل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الإنتاج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b w:val="1"/>
                <w:rtl w:val="1"/>
              </w:rPr>
              <w:t xml:space="preserve">التجنب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: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تدريب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الحاليين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توفير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دورات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تدريبية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وزيادة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رواتب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الموظفين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الكفء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bidi w:val="1"/>
              <w:jc w:val="center"/>
              <w:rPr>
                <w:rFonts w:ascii="IBM Plex Sans Arabic" w:cs="IBM Plex Sans Arabic" w:eastAsia="IBM Plex Sans Arabic" w:hAnsi="IBM Plex Sans Arabic"/>
              </w:rPr>
            </w:pP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التعاقد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مع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مزود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خدمات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 </w:t>
            </w:r>
            <w:r w:rsidDel="00000000" w:rsidR="00000000" w:rsidRPr="00000000">
              <w:rPr>
                <w:rFonts w:ascii="IBM Plex Sans Arabic" w:cs="IBM Plex Sans Arabic" w:eastAsia="IBM Plex Sans Arabic" w:hAnsi="IBM Plex Sans Arabic"/>
                <w:rtl w:val="1"/>
              </w:rPr>
              <w:t xml:space="preserve">مستقل</w:t>
            </w:r>
          </w:p>
        </w:tc>
      </w:tr>
    </w:tbl>
    <w:p w:rsidR="00000000" w:rsidDel="00000000" w:rsidP="00000000" w:rsidRDefault="00000000" w:rsidRPr="00000000" w14:paraId="00000181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pStyle w:val="Heading3"/>
        <w:keepNext w:val="0"/>
        <w:keepLines w:val="0"/>
        <w:bidi w:val="1"/>
        <w:spacing w:before="280" w:lineRule="auto"/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</w:rPr>
      </w:pPr>
      <w:bookmarkStart w:colFirst="0" w:colLast="0" w:name="_l0zr64m75vj8" w:id="40"/>
      <w:bookmarkEnd w:id="4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Style w:val="Heading3"/>
        <w:keepNext w:val="0"/>
        <w:keepLines w:val="0"/>
        <w:bidi w:val="1"/>
        <w:spacing w:before="280" w:lineRule="auto"/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</w:rPr>
      </w:pPr>
      <w:bookmarkStart w:colFirst="0" w:colLast="0" w:name="_l28sypkvvtlc" w:id="41"/>
      <w:bookmarkEnd w:id="41"/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شرح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الجدول</w:t>
      </w:r>
    </w:p>
    <w:p w:rsidR="00000000" w:rsidDel="00000000" w:rsidP="00000000" w:rsidRDefault="00000000" w:rsidRPr="00000000" w14:paraId="00000184">
      <w:pPr>
        <w:numPr>
          <w:ilvl w:val="0"/>
          <w:numId w:val="9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المخاطرة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يصف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نوع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المخاطرة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قد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تواجه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185">
      <w:pPr>
        <w:numPr>
          <w:ilvl w:val="0"/>
          <w:numId w:val="9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وصف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المخاطرة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يقدم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شرح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مختصر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ً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عن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طبيعة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المخاطرة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186">
      <w:pPr>
        <w:numPr>
          <w:ilvl w:val="0"/>
          <w:numId w:val="9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احتمالية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حدوثها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تقدير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لاحتمال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حدوث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المخاطرة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(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منخفضة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متوسطة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عالية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).</w:t>
      </w:r>
    </w:p>
    <w:p w:rsidR="00000000" w:rsidDel="00000000" w:rsidP="00000000" w:rsidRDefault="00000000" w:rsidRPr="00000000" w14:paraId="00000187">
      <w:pPr>
        <w:numPr>
          <w:ilvl w:val="0"/>
          <w:numId w:val="9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التأثير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المحتمل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يحدد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مدى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التأثير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المالي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التشغيلي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إذا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حدثت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المخاطرة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188">
      <w:pPr>
        <w:numPr>
          <w:ilvl w:val="0"/>
          <w:numId w:val="9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إستراتيجية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التعامل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الاستراتيجية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المتبعة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لإدارة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المخاطرة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مثل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التخفيف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الامتثال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التكيف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التجنب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189">
      <w:pPr>
        <w:numPr>
          <w:ilvl w:val="0"/>
          <w:numId w:val="9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الإجراءات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الوقائية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التدابير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المتخذة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لتقليل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احتمال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حدوث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المخاطرة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تقليل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تأثيرها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18A">
      <w:pPr>
        <w:numPr>
          <w:ilvl w:val="0"/>
          <w:numId w:val="9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الخطة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البديلة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: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إجراءات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بديلة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لتقليل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الأضرار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حال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وقوع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المخاطرة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18B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Style w:val="Heading3"/>
        <w:keepNext w:val="0"/>
        <w:keepLines w:val="0"/>
        <w:bidi w:val="1"/>
        <w:spacing w:before="280" w:lineRule="auto"/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</w:rPr>
      </w:pPr>
      <w:bookmarkStart w:colFirst="0" w:colLast="0" w:name="_6pm60qckxm1x" w:id="42"/>
      <w:bookmarkEnd w:id="42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6.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الخاتمة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والتوصيات</w:t>
      </w:r>
    </w:p>
    <w:p w:rsidR="00000000" w:rsidDel="00000000" w:rsidP="00000000" w:rsidRDefault="00000000" w:rsidRPr="00000000" w14:paraId="0000018E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الخلاصة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0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(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ملخص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مختصر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حول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جدوى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بناء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ً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التحليل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السابق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)</w:t>
      </w:r>
    </w:p>
    <w:p w:rsidR="00000000" w:rsidDel="00000000" w:rsidP="00000000" w:rsidRDefault="00000000" w:rsidRPr="00000000" w14:paraId="0000018F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Fonts w:ascii="IBM Plex Sans Arabic" w:cs="IBM Plex Sans Arabic" w:eastAsia="IBM Plex Sans Arabic" w:hAnsi="IBM Plex Sans Arabic"/>
          <w:b w:val="1"/>
          <w:rtl w:val="1"/>
        </w:rPr>
        <w:t xml:space="preserve">التوصيات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0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(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اقتراحات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حول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خطوات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بدء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المشروع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وتوجيهات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لتجنب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المخاطر</w:t>
      </w:r>
      <w:r w:rsidDel="00000000" w:rsidR="00000000" w:rsidRPr="00000000">
        <w:rPr>
          <w:rFonts w:ascii="IBM Plex Sans Arabic" w:cs="IBM Plex Sans Arabic" w:eastAsia="IBM Plex Sans Arabic" w:hAnsi="IBM Plex Sans Arabic"/>
          <w:i w:val="1"/>
          <w:rtl w:val="1"/>
        </w:rPr>
        <w:t xml:space="preserve">)</w:t>
      </w:r>
    </w:p>
    <w:p w:rsidR="00000000" w:rsidDel="00000000" w:rsidP="00000000" w:rsidRDefault="00000000" w:rsidRPr="00000000" w14:paraId="00000190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Style w:val="Heading3"/>
        <w:keepNext w:val="0"/>
        <w:keepLines w:val="0"/>
        <w:bidi w:val="1"/>
        <w:spacing w:before="280" w:lineRule="auto"/>
        <w:ind w:left="0" w:firstLine="0"/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</w:rPr>
      </w:pPr>
      <w:bookmarkStart w:colFirst="0" w:colLast="0" w:name="_gr4nwj5uc1ce" w:id="43"/>
      <w:bookmarkEnd w:id="43"/>
      <w:r w:rsidDel="00000000" w:rsidR="00000000" w:rsidRPr="00000000">
        <w:rPr>
          <w:rtl w:val="0"/>
        </w:rPr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7. </w:t>
      </w:r>
      <w:r w:rsidDel="00000000" w:rsidR="00000000" w:rsidRPr="00000000">
        <w:rPr>
          <w:rFonts w:ascii="IBM Plex Sans Arabic" w:cs="IBM Plex Sans Arabic" w:eastAsia="IBM Plex Sans Arabic" w:hAnsi="IBM Plex Sans Arabic"/>
          <w:b w:val="1"/>
          <w:color w:val="000000"/>
          <w:sz w:val="26"/>
          <w:szCs w:val="26"/>
          <w:rtl w:val="1"/>
        </w:rPr>
        <w:t xml:space="preserve">الملاحق</w:t>
      </w:r>
    </w:p>
    <w:p w:rsidR="00000000" w:rsidDel="00000000" w:rsidP="00000000" w:rsidRDefault="00000000" w:rsidRPr="00000000" w14:paraId="00000192">
      <w:pPr>
        <w:bidi w:val="1"/>
        <w:spacing w:after="240" w:before="240" w:lineRule="auto"/>
        <w:ind w:left="0" w:firstLine="0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تتضمن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الملاحق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مستندات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داعمة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لدراسة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الجدوى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مثل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العقود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عروض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الأسعار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خطط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التسويق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التفصيلية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أو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وثائق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أخرى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تدعم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التحليل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تساهم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هذه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الوثائق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توفير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معلومات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أكثر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دقة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وشمولية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للجهات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المعنية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وتساعد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في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اتخاذ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القرارات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المبنية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على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أسس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متينة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193">
      <w:pPr>
        <w:bidi w:val="1"/>
        <w:spacing w:after="240" w:before="240" w:lineRule="auto"/>
        <w:ind w:left="0" w:firstLine="0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bidi w:val="1"/>
        <w:spacing w:after="240" w:before="240" w:lineRule="auto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يمكنك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الآن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نسخ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هذا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النموذج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إلى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ملف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وورد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وتعبئته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بالمعلومات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المتاحة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للمشروع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المستهدف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،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مع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تخصيص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الحقول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والجداول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حسب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 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احتياجاتك</w:t>
      </w:r>
      <w:r w:rsidDel="00000000" w:rsidR="00000000" w:rsidRPr="00000000">
        <w:rPr>
          <w:rFonts w:ascii="IBM Plex Sans Arabic" w:cs="IBM Plex Sans Arabic" w:eastAsia="IBM Plex Sans Arabic" w:hAnsi="IBM Plex Sans Arabic"/>
          <w:rtl w:val="1"/>
        </w:rPr>
        <w:t xml:space="preserve">.</w:t>
      </w:r>
    </w:p>
    <w:p w:rsidR="00000000" w:rsidDel="00000000" w:rsidP="00000000" w:rsidRDefault="00000000" w:rsidRPr="00000000" w14:paraId="00000196">
      <w:pPr>
        <w:bidi w:val="1"/>
        <w:rPr>
          <w:rFonts w:ascii="IBM Plex Sans Arabic" w:cs="IBM Plex Sans Arabic" w:eastAsia="IBM Plex Sans Arabic" w:hAnsi="IBM Plex Sans Arabic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BM Plex Sans Arabic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Arabic-regular.ttf"/><Relationship Id="rId2" Type="http://schemas.openxmlformats.org/officeDocument/2006/relationships/font" Target="fonts/IBMPlexSansArabic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