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bidiVisual w:val="1"/>
        <w:tblW w:w="87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10"/>
        <w:gridCol w:w="2430"/>
        <w:gridCol w:w="1665"/>
        <w:gridCol w:w="1245"/>
        <w:gridCol w:w="1680"/>
        <w:tblGridChange w:id="0">
          <w:tblGrid>
            <w:gridCol w:w="1710"/>
            <w:gridCol w:w="2430"/>
            <w:gridCol w:w="1665"/>
            <w:gridCol w:w="1245"/>
            <w:gridCol w:w="168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صافي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رأس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السائل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الشركة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التاريخ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البند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البند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الرصيد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الدفتري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معامل</w:t>
            </w:r>
          </w:p>
          <w:p w:rsidR="00000000" w:rsidDel="00000000" w:rsidP="00000000" w:rsidRDefault="00000000" w:rsidRPr="00000000" w14:paraId="00000015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الترجيح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المرجحة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الأصول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الأصول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المتداولة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النقدية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المتاحة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بالخزينة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ولدى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البنوك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النقدية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المتاحة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بالخزينة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حسابات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متاحة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بالبنوك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أرصدة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حسابات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التسوية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لدى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المقاصة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بالصافي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ودائع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متاحة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لدى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البنوك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شيكات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التحصيل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لدى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البنوك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شيكات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بالخزينة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يزيد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استلامها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يومين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مرفوضة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إجمالي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النقدية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بالخزينة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ولدى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البنوك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الذمم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المدينة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المستحقة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العملاء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عملاء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الهامش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الرصيد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المستحق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الهامش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مخصوما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ضمانات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مقدمة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مقارنة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نسبة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التمويل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مضروبة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السوقية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للأوراق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التعامل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بالهامش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أيهما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أقل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عملاء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آخرين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حتى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التسوية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عملاء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آخرين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حتى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ثلاثة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التسوية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عملاء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آخرين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اليوم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الثالث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التسوية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عملاء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آخرين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مقدمين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اليوم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السادس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يتم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مقارنة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ناتج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خصم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الذمم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المدينة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السوقية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للأسهم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أيهما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أقل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إجمالي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الذمم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المدينة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المستحقة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العملاء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استثمارات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الأوراق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المالية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اسهم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بغرض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المؤشر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للسوق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القيمة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السوقية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اسهم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بغرض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التداول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خارج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المؤشر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للسوق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القيمة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السوقية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أسهم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مدرجة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بالسوق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محتفظ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أغراض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التداول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اسهم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موقوفة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التداول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سندات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صكوك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أذون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خزانة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حكومية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القيمة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السوقية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أيهما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أقل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سندات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صكوك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درجة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استثمارية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BBB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فأعلى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القيمة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السوقية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أيهما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أقل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سندات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صكوك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درجة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الدرجة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الاستثمارية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أدنى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BBB</w:t>
            </w:r>
            <w:r w:rsidDel="00000000" w:rsidR="00000000" w:rsidRPr="00000000">
              <w:rPr>
                <w:rtl w:val="1"/>
              </w:rPr>
              <w:t xml:space="preserve">- (</w:t>
            </w:r>
            <w:r w:rsidDel="00000000" w:rsidR="00000000" w:rsidRPr="00000000">
              <w:rPr>
                <w:rtl w:val="1"/>
              </w:rPr>
              <w:t xml:space="preserve">القيمة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السوقية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أيهما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أقل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إجمالي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استثمارات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الأوراق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المالية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أصول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متداولة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أخرى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تأمينات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لدى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الغير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مدينون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متنوعون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مصروفات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مدفوعة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مقدمة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عهد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وسلف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العاملين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والمديرين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حسابات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وأرصدة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مدينة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أخرى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إجمالي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متداولة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أخرى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الأصول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طويلة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الأجل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الأصول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الثابتة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بالصافي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الأصول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الملموسة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استثمارات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شركات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شقيقة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وتابعة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استثمارات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للاحتفاظ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أصول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أخرى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طويلة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الأجل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إجمالي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البنود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(1-9)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الالتزامات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المتداولة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العملاء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الدائنون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والقروض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قصيرة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الأجل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الذمم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الدائنة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المستحقة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للعملاء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حتى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التسوية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الذمم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الدائنة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المستحقة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للعملاء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التسوية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قروض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بنكية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قصيرة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الأجل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قروض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قصيرة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أخرى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تسهيلات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بنكية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وحسابات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بنوك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جاري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دائن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إجمالي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الدائنون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والقروض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قصيرة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الأجل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متداولة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أخرى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مطالبات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بتعويضات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لصالح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العملاء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دائنون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متنوعون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وحسابات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وأرصدة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دائنة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أخرى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إجمالي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متداولة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أخرى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طويلة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الأجل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قروض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بنكية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طويلة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الأجل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أخرى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طويلة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الأجل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إجمالي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طويلة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الأجل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خارج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المركز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المالي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الزيادة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نسبة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مديونية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بالهامش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الأقصى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المقرر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طبقا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للإيضاح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المتمم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الضمانات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والكفالات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والتعهدات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المالية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باستثناء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الضمانات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المقدمة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الهيئة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السوق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جهة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الايداع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عرضية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اخرى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طبقا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للإيضاح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اجمالي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خارج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القوائم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المالية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إجمالي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الالتزامات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البنود</w:t>
            </w:r>
            <w:r w:rsidDel="00000000" w:rsidR="00000000" w:rsidRPr="00000000">
              <w:rPr>
                <w:rtl w:val="1"/>
              </w:rPr>
              <w:t xml:space="preserve"> 11-14)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القروض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المساندة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طبقا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للإيضاح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بالسالب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إجمالي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الالتزامات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المرجحة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البند</w:t>
            </w:r>
            <w:r w:rsidDel="00000000" w:rsidR="00000000" w:rsidRPr="00000000">
              <w:rPr>
                <w:rtl w:val="1"/>
              </w:rPr>
              <w:t xml:space="preserve"> 15 + </w:t>
            </w:r>
            <w:r w:rsidDel="00000000" w:rsidR="00000000" w:rsidRPr="00000000">
              <w:rPr>
                <w:rtl w:val="1"/>
              </w:rPr>
              <w:t xml:space="preserve">البند</w:t>
            </w:r>
            <w:r w:rsidDel="00000000" w:rsidR="00000000" w:rsidRPr="00000000">
              <w:rPr>
                <w:rtl w:val="1"/>
              </w:rPr>
              <w:t xml:space="preserve"> 16)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صافي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رأس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السائل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الفرق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البند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10 </w:t>
            </w:r>
            <w:r w:rsidDel="00000000" w:rsidR="00000000" w:rsidRPr="00000000">
              <w:rPr>
                <w:rtl w:val="1"/>
              </w:rPr>
              <w:t xml:space="preserve">والبند</w:t>
            </w:r>
            <w:r w:rsidDel="00000000" w:rsidR="00000000" w:rsidRPr="00000000">
              <w:rPr>
                <w:rtl w:val="1"/>
              </w:rPr>
              <w:t xml:space="preserve"> 17)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نسبة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صافي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رأس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السائل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البند</w:t>
            </w:r>
            <w:r w:rsidDel="00000000" w:rsidR="00000000" w:rsidRPr="00000000">
              <w:rPr>
                <w:rtl w:val="1"/>
              </w:rPr>
              <w:t xml:space="preserve"> 18)/ </w:t>
            </w:r>
            <w:r w:rsidDel="00000000" w:rsidR="00000000" w:rsidRPr="00000000">
              <w:rPr>
                <w:rtl w:val="1"/>
              </w:rPr>
              <w:t xml:space="preserve">إجمالي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الالتزامات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البند</w:t>
            </w:r>
            <w:r w:rsidDel="00000000" w:rsidR="00000000" w:rsidRPr="00000000">
              <w:rPr>
                <w:rtl w:val="1"/>
              </w:rPr>
              <w:t xml:space="preserve"> 17)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