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>
          <w:b w:val="1"/>
          <w:sz w:val="28"/>
          <w:szCs w:val="28"/>
        </w:rPr>
      </w:pPr>
      <w:bookmarkStart w:colFirst="0" w:colLast="0" w:name="_ye9e9k8r8by0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بروبوزال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مشروع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تقديم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مقترحات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الجهات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المانحة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المستثمرين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tkv8c9uzxl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مبادرة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t7eyi4apo7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للجميع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بغض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8opch11u32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يتمحور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وتدريبي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الإنترنت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سنقوم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الأجهزة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والفنون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5chmulksm52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هدف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الرقمي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تعليمية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تقليل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الفجوة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والريفية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eipfnbn3uv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الفئة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المناطق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الريفية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المعلمون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المناطق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النائية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الشباب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والنساء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والتكنولوجيا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9a0cgfehbnu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مخرجات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متنوعة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50 </w:t>
      </w:r>
      <w:r w:rsidDel="00000000" w:rsidR="00000000" w:rsidRPr="00000000">
        <w:rPr>
          <w:rtl w:val="1"/>
        </w:rPr>
        <w:t xml:space="preserve">معلم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تزويد</w:t>
      </w:r>
      <w:r w:rsidDel="00000000" w:rsidR="00000000" w:rsidRPr="00000000">
        <w:rPr>
          <w:rtl w:val="1"/>
        </w:rPr>
        <w:t xml:space="preserve"> 500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71jkwmsrjho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المنهجية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والتصميم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استطلاعية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الاحتياجات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المعدات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الأجهزة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الحواسيب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والهواتف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والمعلمين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التدريب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والتطوير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الإطلاق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والتقييم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فاعلية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s4mxfy19gao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الزمني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5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05"/>
        <w:gridCol w:w="875"/>
        <w:gridCol w:w="2510"/>
        <w:tblGridChange w:id="0">
          <w:tblGrid>
            <w:gridCol w:w="2405"/>
            <w:gridCol w:w="875"/>
            <w:gridCol w:w="25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دراسة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احتياجات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أسبوعين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مايو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مايو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تصميم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التعليمي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16 </w:t>
            </w:r>
            <w:r w:rsidDel="00000000" w:rsidR="00000000" w:rsidRPr="00000000">
              <w:rPr>
                <w:rtl w:val="1"/>
              </w:rPr>
              <w:t xml:space="preserve">مايو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يوليو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توفير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الأجهزة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والتقنيات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يونيو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30 </w:t>
            </w:r>
            <w:r w:rsidDel="00000000" w:rsidR="00000000" w:rsidRPr="00000000">
              <w:rPr>
                <w:rtl w:val="1"/>
              </w:rPr>
              <w:t xml:space="preserve">يونيو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تدريب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المعلمين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يوليو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31 </w:t>
            </w:r>
            <w:r w:rsidDel="00000000" w:rsidR="00000000" w:rsidRPr="00000000">
              <w:rPr>
                <w:rtl w:val="1"/>
              </w:rPr>
              <w:t xml:space="preserve">يوليو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إطلاق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أغسطس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30 </w:t>
            </w:r>
            <w:r w:rsidDel="00000000" w:rsidR="00000000" w:rsidRPr="00000000">
              <w:rPr>
                <w:rtl w:val="1"/>
              </w:rPr>
              <w:t xml:space="preserve">سبتمبر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للمشروع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أكتوبر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31 </w:t>
            </w:r>
            <w:r w:rsidDel="00000000" w:rsidR="00000000" w:rsidRPr="00000000">
              <w:rPr>
                <w:rtl w:val="1"/>
              </w:rPr>
              <w:t xml:space="preserve">أكتوبر</w:t>
            </w:r>
          </w:p>
        </w:tc>
      </w:tr>
    </w:tbl>
    <w:p w:rsidR="00000000" w:rsidDel="00000000" w:rsidP="00000000" w:rsidRDefault="00000000" w:rsidRPr="00000000" w14:paraId="0000003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p2r64mhyoo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الموازنة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التقديرية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2"/>
        <w:bidiVisual w:val="1"/>
        <w:tblW w:w="50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90"/>
        <w:gridCol w:w="1475"/>
        <w:tblGridChange w:id="0">
          <w:tblGrid>
            <w:gridCol w:w="3590"/>
            <w:gridCol w:w="14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50,000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المعدات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أجهزة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وملحقات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30,000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التدريب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والورش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15,000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رواتب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الموظفين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مدير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المدربون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نفقات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تشغيلية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10,000 </w:t>
            </w:r>
            <w:r w:rsidDel="00000000" w:rsidR="00000000" w:rsidRPr="00000000">
              <w:rPr>
                <w:rtl w:val="1"/>
              </w:rPr>
              <w:t xml:space="preserve">دولار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125,000 </w:t>
            </w:r>
            <w:r w:rsidDel="00000000" w:rsidR="00000000" w:rsidRPr="00000000">
              <w:rPr>
                <w:b w:val="1"/>
                <w:rtl w:val="1"/>
              </w:rPr>
              <w:t xml:space="preserve">دولار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hhaaedh0j4k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مصادر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والمستثمرين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بنحو</w:t>
      </w:r>
      <w:r w:rsidDel="00000000" w:rsidR="00000000" w:rsidRPr="00000000">
        <w:rPr>
          <w:rtl w:val="1"/>
        </w:rPr>
        <w:t xml:space="preserve"> 125,000 </w:t>
      </w:r>
      <w:r w:rsidDel="00000000" w:rsidR="00000000" w:rsidRPr="00000000">
        <w:rPr>
          <w:rtl w:val="1"/>
        </w:rPr>
        <w:t xml:space="preserve">دولار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أمريكي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w5rcmc2voz1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المخاطر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والتحديات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مقاومة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التغيير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يفضلون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التقليدية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التحديات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التقنية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بالإنترنت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التمويل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بمراحله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1fus78ft0r9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التقييم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والمتابعة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ونتائجه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ewbxx2687ie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الخاتمة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ملموس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d6l042jbf3j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المرفقات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إذا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هناك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مرفقات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تفصيلية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نماذج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للتكاليف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السيرة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