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1k7wyd7wps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عنوان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العرض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لشركتكم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zaeaqarz3x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…………….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استثنائية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بشركتكم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فريقنا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أوسع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التحويل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ومؤثرة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spp51wquwca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ُ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لخص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العرض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المدفوعة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SEO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الجذاب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والابتكارات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qvbn4lyn1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الأهداف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الرئيسية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الإيرادات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المبيعات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التجارية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التفاعل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وجذابة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الإنترنت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gg75iwzxji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الخدمات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والمنافسين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والمنافسين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الفجوات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والفرص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محركات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SEO</w:t>
      </w:r>
      <w:r w:rsidDel="00000000" w:rsidR="00000000" w:rsidRPr="00000000">
        <w:rPr>
          <w:b w:val="1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والوصول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إعلانات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مدفوعة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منصات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PPC</w:t>
      </w:r>
      <w:r w:rsidDel="00000000" w:rsidR="00000000" w:rsidRPr="00000000">
        <w:rPr>
          <w:b w:val="1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فيسبوك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إنستغرام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ولينكدإن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المتابعين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إنشاء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مرئي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وجرافيكي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منشورات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وفيديوهات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الاتجاهات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mrq48kh0x4t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الفئة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والمتوسطة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isqaqhwtwcp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الفوائد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ستتحقق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التحويل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مدروسة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تجذب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المبيعات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بالعلامة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التجارية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العائد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الاستثمار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ROI</w:t>
      </w:r>
      <w:r w:rsidDel="00000000" w:rsidR="00000000" w:rsidRPr="00000000">
        <w:rPr>
          <w:b w:val="1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الإنفاق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دعم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وتطوير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n3djrit561g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المنهجية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والتنفيذ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الحملات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للنتائج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مستمرة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0do19ivwzw1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الجدول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الزمني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1"/>
        <w:bidiVisual w:val="1"/>
        <w:tblW w:w="57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25"/>
        <w:gridCol w:w="875"/>
        <w:gridCol w:w="2375"/>
        <w:tblGridChange w:id="0">
          <w:tblGrid>
            <w:gridCol w:w="2525"/>
            <w:gridCol w:w="875"/>
            <w:gridCol w:w="23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المتوقع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والمنافسين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أسبوعين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أبريل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15 </w:t>
            </w:r>
            <w:r w:rsidDel="00000000" w:rsidR="00000000" w:rsidRPr="00000000">
              <w:rPr>
                <w:rtl w:val="1"/>
              </w:rPr>
              <w:t xml:space="preserve">أبريل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الإستراتيجية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16 </w:t>
            </w:r>
            <w:r w:rsidDel="00000000" w:rsidR="00000000" w:rsidRPr="00000000">
              <w:rPr>
                <w:rtl w:val="1"/>
              </w:rPr>
              <w:t xml:space="preserve">أبريل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15 </w:t>
            </w:r>
            <w:r w:rsidDel="00000000" w:rsidR="00000000" w:rsidRPr="00000000">
              <w:rPr>
                <w:rtl w:val="1"/>
              </w:rPr>
              <w:t xml:space="preserve">يونيو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إطلاق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التسويقية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 </w:t>
            </w:r>
            <w:r w:rsidDel="00000000" w:rsidR="00000000" w:rsidRPr="00000000">
              <w:rPr>
                <w:rtl w:val="1"/>
              </w:rPr>
              <w:t xml:space="preserve">أشهر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16 </w:t>
            </w:r>
            <w:r w:rsidDel="00000000" w:rsidR="00000000" w:rsidRPr="00000000">
              <w:rPr>
                <w:rtl w:val="1"/>
              </w:rPr>
              <w:t xml:space="preserve">يونيو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15 </w:t>
            </w:r>
            <w:r w:rsidDel="00000000" w:rsidR="00000000" w:rsidRPr="00000000">
              <w:rPr>
                <w:rtl w:val="1"/>
              </w:rPr>
              <w:t xml:space="preserve">سبتمبر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وتقديم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التقارير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1 </w:t>
            </w:r>
            <w:r w:rsidDel="00000000" w:rsidR="00000000" w:rsidRPr="00000000">
              <w:rPr>
                <w:rtl w:val="1"/>
              </w:rPr>
              <w:t xml:space="preserve">يوليو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31 </w:t>
            </w:r>
            <w:r w:rsidDel="00000000" w:rsidR="00000000" w:rsidRPr="00000000">
              <w:rPr>
                <w:rtl w:val="1"/>
              </w:rPr>
              <w:t xml:space="preserve">ديسمبر</w:t>
            </w:r>
          </w:p>
        </w:tc>
      </w:tr>
    </w:tbl>
    <w:p w:rsidR="00000000" w:rsidDel="00000000" w:rsidP="00000000" w:rsidRDefault="00000000" w:rsidRPr="00000000" w14:paraId="0000003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75ls4r3svf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التكلفة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التقديرية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2"/>
        <w:bidiVisual w:val="1"/>
        <w:tblW w:w="4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60"/>
        <w:gridCol w:w="1415"/>
        <w:tblGridChange w:id="0">
          <w:tblGrid>
            <w:gridCol w:w="2660"/>
            <w:gridCol w:w="14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والمنافسين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SEO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الحملات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الإعلانية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المدفوعة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وسائل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4,000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إنشاء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الإبداعي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2,500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والتقارير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الشهرية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1,500 </w:t>
            </w:r>
            <w:r w:rsidDel="00000000" w:rsidR="00000000" w:rsidRPr="00000000">
              <w:rPr>
                <w:rtl w:val="1"/>
              </w:rPr>
              <w:t xml:space="preserve">ريال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17,000 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kja9jlkdcpt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شروط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الدفع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الدفعة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الأولى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50%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الدفعة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25%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السوق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الدفعة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25%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nzx4gb569l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908i5htibqz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كيفية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العمل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ً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الاتفاق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الشروط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المرحلة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الأولى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والتخطيط</w:t>
      </w:r>
      <w:r w:rsidDel="00000000" w:rsidR="00000000" w:rsidRPr="00000000">
        <w:rPr>
          <w:b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والتقييم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8silkyrob2b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المراجع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شهادات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سابقين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الناجحة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دراسات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مرفق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مشابهة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bklxpwdwdrr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الخاتمة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………………… </w:t>
      </w:r>
      <w:r w:rsidDel="00000000" w:rsidR="00000000" w:rsidRPr="00000000">
        <w:rPr>
          <w:rtl w:val="1"/>
        </w:rPr>
        <w:t xml:space="preserve">ملتزمون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وفع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وتساعدكم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استفسارات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التفصيل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تترددوا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1cboqia0vhw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البريد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الإلكتروني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الهاتف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الموقع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الإلكتروني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5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