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bidi w:val="1"/>
              <w:spacing w:line="288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الوعي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88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البحث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line="288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القرار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spacing w:line="288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التجربة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line="288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6"/>
                <w:szCs w:val="26"/>
                <w:rtl w:val="1"/>
              </w:rPr>
              <w:t xml:space="preserve">الولاء</w:t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line="288" w:lineRule="auto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الإجراءات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spacing w:line="288" w:lineRule="auto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التواصل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line="288" w:lineRule="auto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المشاعر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88" w:lineRule="auto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الدوافع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line="288" w:lineRule="auto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التحسينات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