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قياسية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البائع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المشتري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الاستحقاق</w:t>
      </w:r>
      <w:r w:rsidDel="00000000" w:rsidR="00000000" w:rsidRPr="00000000">
        <w:rPr>
          <w:rtl w:val="1"/>
        </w:rPr>
        <w:t xml:space="preserve">: ___________________________</w:t>
      </w:r>
    </w:p>
    <w:tbl>
      <w:tblPr>
        <w:tblStyle w:val="Table1"/>
        <w:bidiVisual w:val="1"/>
        <w:tblW w:w="8640.0" w:type="dxa"/>
        <w:jc w:val="left"/>
        <w:tblInd w:w="-115.0" w:type="dxa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الكمية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السعر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للوحدة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الضريبة</w:t>
      </w:r>
      <w:r w:rsidDel="00000000" w:rsidR="00000000" w:rsidRPr="00000000">
        <w:rPr>
          <w:rtl w:val="1"/>
        </w:rPr>
        <w:t xml:space="preserve"> (15%): __________________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: __________________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للزكاة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Yl0QecSveT3x3HLcBzv5k7uLQ==">CgMxLjA4AHIhMXNCdzh1MGktRGtvRFBRRmRQQ21pYWpMdXZERGRTUGFO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