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before="280" w:lineRule="auto"/>
        <w:jc w:val="center"/>
        <w:rPr/>
      </w:pPr>
      <w:bookmarkStart w:colFirst="0" w:colLast="0" w:name="_4cntlc256s1v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عمومية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5durvgfrrux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شركة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…………..</w:t>
      </w:r>
    </w:p>
    <w:p w:rsidR="00000000" w:rsidDel="00000000" w:rsidP="00000000" w:rsidRDefault="00000000" w:rsidRPr="00000000" w14:paraId="00000003">
      <w:pPr>
        <w:pStyle w:val="Heading2"/>
        <w:bidi w:val="1"/>
        <w:spacing w:after="240" w:before="240" w:lineRule="auto"/>
        <w:rPr/>
      </w:pPr>
      <w:bookmarkStart w:colFirst="0" w:colLast="0" w:name="_c2fn38hdzhq0" w:id="2"/>
      <w:bookmarkEnd w:id="2"/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العمومية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الأصول</w:t>
      </w:r>
    </w:p>
    <w:tbl>
      <w:tblPr>
        <w:tblStyle w:val="Table1"/>
        <w:bidiVisual w:val="1"/>
        <w:tblW w:w="50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95"/>
        <w:gridCol w:w="1560"/>
        <w:tblGridChange w:id="0">
          <w:tblGrid>
            <w:gridCol w:w="3495"/>
            <w:gridCol w:w="15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المبلغ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الأصول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النقد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الصندوق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المدينة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المخزون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80,000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المصروفات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المدفوعة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</w:t>
            </w:r>
            <w:r w:rsidDel="00000000" w:rsidR="00000000" w:rsidRPr="00000000">
              <w:rPr>
                <w:rtl w:val="1"/>
              </w:rPr>
              <w:t xml:space="preserve">ً</w:t>
            </w:r>
            <w:r w:rsidDel="00000000" w:rsidR="00000000" w:rsidRPr="00000000">
              <w:rPr>
                <w:rtl w:val="1"/>
              </w:rPr>
              <w:t xml:space="preserve">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350,000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الأصول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العقارات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الآلات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والمعدات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الملموسة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حقوق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فكرية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850,000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1,200,000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1hrdvwdo0j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dpyc9xgf9a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1pa6ctesp2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ig846molvq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zmvbryuc18m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الخصوم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وحقوق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الملكية</w:t>
      </w:r>
    </w:p>
    <w:tbl>
      <w:tblPr>
        <w:tblStyle w:val="Table2"/>
        <w:bidiVisual w:val="1"/>
        <w:tblW w:w="3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30"/>
        <w:gridCol w:w="1190"/>
        <w:tblGridChange w:id="0">
          <w:tblGrid>
            <w:gridCol w:w="2630"/>
            <w:gridCol w:w="11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المبلغ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ريال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الخصوم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الدائنة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120,000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قصيرة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80,000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المصروفات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الخصوم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250,000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الخصوم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طويلة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الأجل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السندات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150,000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الخصوم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طويلة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الأجل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550,000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الخصوم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800,000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رأس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الأرباح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المحتجزة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400,000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الخصوم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وحقوق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1,200,000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wmgpeqoajjt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شرح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النموذج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المتداولة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تحويلها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والمخزون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المتداولة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الاستثمارات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الآلات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الملموسة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أطول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الخصوم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المتداولة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الدائنة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الخصوم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طويلة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الأجل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والسندات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الملكية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الاستثمار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المحتجزة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jqwq8jsdr98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التوازن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المالي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1"/>
        </w:rPr>
        <w:t xml:space="preserve">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الأصول</w:t>
      </w:r>
      <w:r w:rsidDel="00000000" w:rsidR="00000000" w:rsidRPr="00000000">
        <w:rPr>
          <w:rtl w:val="1"/>
        </w:rPr>
        <w:t xml:space="preserve"> (1,200,000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يساوي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الخصوم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 (1,200,000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بمعادلة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العمومية</w:t>
      </w:r>
      <w:r w:rsidDel="00000000" w:rsidR="00000000" w:rsidRPr="00000000">
        <w:rPr>
          <w:rtl w:val="1"/>
        </w:rPr>
        <w:t xml:space="preserve">:</w:t>
        <w:br w:type="textWrapping"/>
      </w:r>
      <w:r w:rsidDel="00000000" w:rsidR="00000000" w:rsidRPr="00000000">
        <w:rPr>
          <w:b w:val="1"/>
          <w:rtl w:val="1"/>
        </w:rPr>
        <w:t xml:space="preserve">الأصول</w:t>
      </w:r>
      <w:r w:rsidDel="00000000" w:rsidR="00000000" w:rsidRPr="00000000">
        <w:rPr>
          <w:b w:val="1"/>
          <w:rtl w:val="1"/>
        </w:rPr>
        <w:t xml:space="preserve"> = </w:t>
      </w:r>
      <w:r w:rsidDel="00000000" w:rsidR="00000000" w:rsidRPr="00000000">
        <w:rPr>
          <w:b w:val="1"/>
          <w:rtl w:val="1"/>
        </w:rPr>
        <w:t xml:space="preserve">الخصوم</w:t>
      </w:r>
      <w:r w:rsidDel="00000000" w:rsidR="00000000" w:rsidRPr="00000000">
        <w:rPr>
          <w:b w:val="1"/>
          <w:rtl w:val="1"/>
        </w:rPr>
        <w:t xml:space="preserve"> + </w:t>
      </w:r>
      <w:r w:rsidDel="00000000" w:rsidR="00000000" w:rsidRPr="00000000">
        <w:rPr>
          <w:b w:val="1"/>
          <w:rtl w:val="1"/>
        </w:rPr>
        <w:t xml:space="preserve">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الملكية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إدخال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التعديلات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